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2613D53F" w:rsidR="008C7E44" w:rsidRPr="00912C8F" w:rsidRDefault="00805013" w:rsidP="00F230B2">
            <w:pPr>
              <w:spacing w:before="0" w:line="240" w:lineRule="auto"/>
              <w:ind w:left="708"/>
              <w:jc w:val="right"/>
              <w:rPr>
                <w:b/>
                <w:sz w:val="26"/>
                <w:szCs w:val="26"/>
                <w:lang w:val="de-AT"/>
              </w:rPr>
            </w:pPr>
            <w:r>
              <w:rPr>
                <w:b/>
                <w:sz w:val="26"/>
                <w:szCs w:val="26"/>
                <w:lang w:val="de-AT"/>
              </w:rPr>
              <w:t>Presseinformation</w:t>
            </w:r>
          </w:p>
          <w:p w14:paraId="2B7EC604" w14:textId="54D920B0" w:rsidR="008C7E44" w:rsidRPr="00912C8F" w:rsidRDefault="00384202" w:rsidP="00F230B2">
            <w:pPr>
              <w:spacing w:before="0" w:line="240" w:lineRule="auto"/>
              <w:ind w:left="708"/>
              <w:jc w:val="right"/>
              <w:rPr>
                <w:sz w:val="22"/>
                <w:szCs w:val="22"/>
                <w:lang w:val="de-AT"/>
              </w:rPr>
            </w:pPr>
            <w:r>
              <w:rPr>
                <w:sz w:val="22"/>
                <w:szCs w:val="22"/>
                <w:lang w:val="de-AT"/>
              </w:rPr>
              <w:t>13.01.2023</w:t>
            </w:r>
          </w:p>
        </w:tc>
      </w:tr>
    </w:tbl>
    <w:p w14:paraId="409DBEE3" w14:textId="77777777" w:rsidR="00384202" w:rsidRPr="00384202" w:rsidRDefault="00384202" w:rsidP="00384202">
      <w:pPr>
        <w:widowControl w:val="0"/>
        <w:spacing w:before="0" w:line="400" w:lineRule="atLeast"/>
        <w:ind w:right="27"/>
        <w:rPr>
          <w:rFonts w:asciiTheme="majorHAnsi" w:eastAsia="Arial Unicode MS" w:hAnsiTheme="majorHAnsi" w:cs="Times New Roman"/>
          <w:caps/>
          <w:sz w:val="24"/>
          <w:szCs w:val="12"/>
          <w:lang w:val="de-DE" w:eastAsia="de-DE"/>
        </w:rPr>
      </w:pPr>
      <w:bookmarkStart w:id="1" w:name="_Hlk103057531"/>
      <w:r w:rsidRPr="00384202">
        <w:rPr>
          <w:rFonts w:asciiTheme="majorHAnsi" w:eastAsia="Arial Unicode MS" w:hAnsiTheme="majorHAnsi" w:cs="Times New Roman"/>
          <w:caps/>
          <w:sz w:val="24"/>
          <w:szCs w:val="12"/>
          <w:lang w:val="de-DE" w:eastAsia="de-DE"/>
        </w:rPr>
        <w:t>ANTRIEBE F</w:t>
      </w:r>
      <w:r w:rsidRPr="00384202">
        <w:rPr>
          <w:rFonts w:asciiTheme="majorHAnsi" w:eastAsia="Arial Unicode MS" w:hAnsiTheme="majorHAnsi" w:cs="Times New Roman" w:hint="cs"/>
          <w:caps/>
          <w:sz w:val="24"/>
          <w:szCs w:val="12"/>
          <w:lang w:val="de-DE" w:eastAsia="de-DE"/>
        </w:rPr>
        <w:t>Ü</w:t>
      </w:r>
      <w:r w:rsidRPr="00384202">
        <w:rPr>
          <w:rFonts w:asciiTheme="majorHAnsi" w:eastAsia="Arial Unicode MS" w:hAnsiTheme="majorHAnsi" w:cs="Times New Roman"/>
          <w:caps/>
          <w:sz w:val="24"/>
          <w:szCs w:val="12"/>
          <w:lang w:val="de-DE" w:eastAsia="de-DE"/>
        </w:rPr>
        <w:t>R LEICHTE NUTZFAHRZEUGE</w:t>
      </w:r>
      <w:r w:rsidRPr="00384202">
        <w:rPr>
          <w:rFonts w:asciiTheme="majorHAnsi" w:eastAsia="Arial Unicode MS" w:hAnsiTheme="majorHAnsi" w:cs="Times New Roman"/>
          <w:caps/>
          <w:sz w:val="24"/>
          <w:szCs w:val="12"/>
          <w:lang w:val="de-DE" w:eastAsia="de-DE"/>
        </w:rPr>
        <w:t xml:space="preserve"> </w:t>
      </w:r>
    </w:p>
    <w:p w14:paraId="16ED6375" w14:textId="5785BC82" w:rsidR="0089420A" w:rsidRPr="0089420A" w:rsidRDefault="00384202" w:rsidP="0089420A">
      <w:pPr>
        <w:widowControl w:val="0"/>
        <w:spacing w:before="0" w:after="360" w:line="400" w:lineRule="atLeast"/>
        <w:ind w:right="27"/>
        <w:rPr>
          <w:rFonts w:asciiTheme="majorHAnsi" w:eastAsia="Arial Unicode MS" w:hAnsiTheme="majorHAnsi" w:cs="Times New Roman"/>
          <w:b/>
          <w:bCs/>
          <w:caps/>
          <w:sz w:val="32"/>
          <w:lang w:val="de-DE" w:eastAsia="de-DE"/>
        </w:rPr>
      </w:pPr>
      <w:r w:rsidRPr="00384202">
        <w:rPr>
          <w:rFonts w:asciiTheme="majorHAnsi" w:eastAsia="Arial Unicode MS" w:hAnsiTheme="majorHAnsi" w:cs="Times New Roman"/>
          <w:b/>
          <w:bCs/>
          <w:caps/>
          <w:sz w:val="32"/>
          <w:lang w:val="de-DE" w:eastAsia="de-DE"/>
        </w:rPr>
        <w:t>RENAULT GROUP UND PUNCH TORINO KOOPERIEREN BEI ENTWICKLUNG EMISSIONSARMER DIESELMOTOREN</w:t>
      </w:r>
    </w:p>
    <w:p w14:paraId="2C0D31C8" w14:textId="050558DB" w:rsidR="0089420A" w:rsidRPr="0089420A" w:rsidRDefault="00384202" w:rsidP="0089420A">
      <w:pPr>
        <w:spacing w:before="0" w:after="120" w:line="240" w:lineRule="auto"/>
        <w:jc w:val="both"/>
        <w:rPr>
          <w:rFonts w:asciiTheme="majorHAnsi" w:eastAsia="Calibri" w:hAnsiTheme="majorHAnsi" w:cs="Arial"/>
          <w:b/>
          <w:color w:val="000000"/>
          <w:sz w:val="22"/>
          <w:szCs w:val="22"/>
          <w:lang w:val="pt-BR" w:eastAsia="fr-FR"/>
        </w:rPr>
      </w:pPr>
      <w:r w:rsidRPr="00384202">
        <w:rPr>
          <w:rFonts w:asciiTheme="majorHAnsi" w:eastAsia="Calibri" w:hAnsiTheme="majorHAnsi" w:cs="Arial"/>
          <w:b/>
          <w:color w:val="000000"/>
          <w:sz w:val="22"/>
          <w:szCs w:val="22"/>
          <w:lang w:val="pt-BR" w:eastAsia="fr-FR"/>
        </w:rPr>
        <w:t xml:space="preserve">Die Renault Group und der Antriebs- und Elektronikentwickler PUNCH Torino haben eine Kooperation </w:t>
      </w:r>
      <w:r w:rsidRPr="00384202">
        <w:rPr>
          <w:rFonts w:asciiTheme="majorHAnsi" w:eastAsia="Calibri" w:hAnsiTheme="majorHAnsi" w:cs="Arial" w:hint="cs"/>
          <w:b/>
          <w:color w:val="000000"/>
          <w:sz w:val="22"/>
          <w:szCs w:val="22"/>
          <w:lang w:val="pt-BR" w:eastAsia="fr-FR"/>
        </w:rPr>
        <w:t>ü</w:t>
      </w:r>
      <w:r w:rsidRPr="00384202">
        <w:rPr>
          <w:rFonts w:asciiTheme="majorHAnsi" w:eastAsia="Calibri" w:hAnsiTheme="majorHAnsi" w:cs="Arial"/>
          <w:b/>
          <w:color w:val="000000"/>
          <w:sz w:val="22"/>
          <w:szCs w:val="22"/>
          <w:lang w:val="pt-BR" w:eastAsia="fr-FR"/>
        </w:rPr>
        <w:t>ber die Verwendung und gemeinschaftliche Entwicklung abgas- und verbrauchsarmer Dieselmotoren f</w:t>
      </w:r>
      <w:r w:rsidRPr="00384202">
        <w:rPr>
          <w:rFonts w:asciiTheme="majorHAnsi" w:eastAsia="Calibri" w:hAnsiTheme="majorHAnsi" w:cs="Arial" w:hint="cs"/>
          <w:b/>
          <w:color w:val="000000"/>
          <w:sz w:val="22"/>
          <w:szCs w:val="22"/>
          <w:lang w:val="pt-BR" w:eastAsia="fr-FR"/>
        </w:rPr>
        <w:t>ü</w:t>
      </w:r>
      <w:r w:rsidRPr="00384202">
        <w:rPr>
          <w:rFonts w:asciiTheme="majorHAnsi" w:eastAsia="Calibri" w:hAnsiTheme="majorHAnsi" w:cs="Arial"/>
          <w:b/>
          <w:color w:val="000000"/>
          <w:sz w:val="22"/>
          <w:szCs w:val="22"/>
          <w:lang w:val="pt-BR" w:eastAsia="fr-FR"/>
        </w:rPr>
        <w:t>r leichte Nutzfahrzeuge vereinbart. Das Abkommen sieht vor, dass PUNCH die aktuellen und zuk</w:t>
      </w:r>
      <w:r w:rsidRPr="00384202">
        <w:rPr>
          <w:rFonts w:asciiTheme="majorHAnsi" w:eastAsia="Calibri" w:hAnsiTheme="majorHAnsi" w:cs="Arial" w:hint="cs"/>
          <w:b/>
          <w:color w:val="000000"/>
          <w:sz w:val="22"/>
          <w:szCs w:val="22"/>
          <w:lang w:val="pt-BR" w:eastAsia="fr-FR"/>
        </w:rPr>
        <w:t>ü</w:t>
      </w:r>
      <w:r w:rsidRPr="00384202">
        <w:rPr>
          <w:rFonts w:asciiTheme="majorHAnsi" w:eastAsia="Calibri" w:hAnsiTheme="majorHAnsi" w:cs="Arial"/>
          <w:b/>
          <w:color w:val="000000"/>
          <w:sz w:val="22"/>
          <w:szCs w:val="22"/>
          <w:lang w:val="pt-BR" w:eastAsia="fr-FR"/>
        </w:rPr>
        <w:t>nftigen Vierzylinder-Dieselmotoren von Renault erwerben, nutzen und verkaufen kann. Die Partnerschaft steht im Einklang mit dem auf dem Capital Market Day angek</w:t>
      </w:r>
      <w:r w:rsidRPr="00384202">
        <w:rPr>
          <w:rFonts w:asciiTheme="majorHAnsi" w:eastAsia="Calibri" w:hAnsiTheme="majorHAnsi" w:cs="Arial" w:hint="cs"/>
          <w:b/>
          <w:color w:val="000000"/>
          <w:sz w:val="22"/>
          <w:szCs w:val="22"/>
          <w:lang w:val="pt-BR" w:eastAsia="fr-FR"/>
        </w:rPr>
        <w:t>ü</w:t>
      </w:r>
      <w:r w:rsidRPr="00384202">
        <w:rPr>
          <w:rFonts w:asciiTheme="majorHAnsi" w:eastAsia="Calibri" w:hAnsiTheme="majorHAnsi" w:cs="Arial"/>
          <w:b/>
          <w:color w:val="000000"/>
          <w:sz w:val="22"/>
          <w:szCs w:val="22"/>
          <w:lang w:val="pt-BR" w:eastAsia="fr-FR"/>
        </w:rPr>
        <w:t xml:space="preserve">ndigten Projekt </w:t>
      </w:r>
      <w:r w:rsidRPr="00384202">
        <w:rPr>
          <w:rFonts w:asciiTheme="majorHAnsi" w:eastAsia="Calibri" w:hAnsiTheme="majorHAnsi" w:cs="Arial" w:hint="cs"/>
          <w:b/>
          <w:color w:val="000000"/>
          <w:sz w:val="22"/>
          <w:szCs w:val="22"/>
          <w:lang w:val="pt-BR" w:eastAsia="fr-FR"/>
        </w:rPr>
        <w:t>„</w:t>
      </w:r>
      <w:r w:rsidRPr="00384202">
        <w:rPr>
          <w:rFonts w:asciiTheme="majorHAnsi" w:eastAsia="Calibri" w:hAnsiTheme="majorHAnsi" w:cs="Arial"/>
          <w:b/>
          <w:color w:val="000000"/>
          <w:sz w:val="22"/>
          <w:szCs w:val="22"/>
          <w:lang w:val="pt-BR" w:eastAsia="fr-FR"/>
        </w:rPr>
        <w:t>Horse</w:t>
      </w:r>
      <w:r w:rsidRPr="00384202">
        <w:rPr>
          <w:rFonts w:asciiTheme="majorHAnsi" w:eastAsia="Calibri" w:hAnsiTheme="majorHAnsi" w:cs="Arial" w:hint="cs"/>
          <w:b/>
          <w:color w:val="000000"/>
          <w:sz w:val="22"/>
          <w:szCs w:val="22"/>
          <w:lang w:val="pt-BR" w:eastAsia="fr-FR"/>
        </w:rPr>
        <w:t>“</w:t>
      </w:r>
      <w:r w:rsidRPr="00384202">
        <w:rPr>
          <w:rFonts w:asciiTheme="majorHAnsi" w:eastAsia="Calibri" w:hAnsiTheme="majorHAnsi" w:cs="Arial"/>
          <w:b/>
          <w:color w:val="000000"/>
          <w:sz w:val="22"/>
          <w:szCs w:val="22"/>
          <w:lang w:val="pt-BR" w:eastAsia="fr-FR"/>
        </w:rPr>
        <w:t>.</w:t>
      </w:r>
    </w:p>
    <w:p w14:paraId="517C13E4" w14:textId="77777777" w:rsidR="00384202" w:rsidRPr="00384202" w:rsidRDefault="00384202" w:rsidP="00384202">
      <w:pPr>
        <w:autoSpaceDE w:val="0"/>
        <w:autoSpaceDN w:val="0"/>
        <w:adjustRightInd w:val="0"/>
        <w:spacing w:after="240" w:line="280" w:lineRule="atLeast"/>
        <w:jc w:val="both"/>
        <w:rPr>
          <w:rFonts w:asciiTheme="majorHAnsi" w:eastAsia="Calibri" w:hAnsiTheme="majorHAnsi" w:cs="Arial"/>
          <w:color w:val="000000"/>
          <w:sz w:val="20"/>
          <w:lang w:val="de-DE" w:eastAsia="fr-FR"/>
        </w:rPr>
      </w:pPr>
      <w:r w:rsidRPr="00384202">
        <w:rPr>
          <w:rFonts w:asciiTheme="majorHAnsi" w:eastAsia="Calibri" w:hAnsiTheme="majorHAnsi" w:cs="Arial"/>
          <w:color w:val="000000"/>
          <w:sz w:val="20"/>
          <w:lang w:val="de-DE" w:eastAsia="fr-FR"/>
        </w:rPr>
        <w:t xml:space="preserve">Im Rahmen des Projekts </w:t>
      </w:r>
      <w:r w:rsidRPr="00384202">
        <w:rPr>
          <w:rFonts w:asciiTheme="majorHAnsi" w:eastAsia="Calibri" w:hAnsiTheme="majorHAnsi" w:cs="Arial" w:hint="cs"/>
          <w:color w:val="000000"/>
          <w:sz w:val="20"/>
          <w:lang w:val="de-DE" w:eastAsia="fr-FR"/>
        </w:rPr>
        <w:t>„</w:t>
      </w:r>
      <w:proofErr w:type="spellStart"/>
      <w:r w:rsidRPr="00384202">
        <w:rPr>
          <w:rFonts w:asciiTheme="majorHAnsi" w:eastAsia="Calibri" w:hAnsiTheme="majorHAnsi" w:cs="Arial"/>
          <w:color w:val="000000"/>
          <w:sz w:val="20"/>
          <w:lang w:val="de-DE" w:eastAsia="fr-FR"/>
        </w:rPr>
        <w:t>Horse</w:t>
      </w:r>
      <w:proofErr w:type="spellEnd"/>
      <w:r w:rsidRPr="00384202">
        <w:rPr>
          <w:rFonts w:asciiTheme="majorHAnsi" w:eastAsia="Calibri" w:hAnsiTheme="majorHAnsi" w:cs="Arial" w:hint="cs"/>
          <w:color w:val="000000"/>
          <w:sz w:val="20"/>
          <w:lang w:val="de-DE" w:eastAsia="fr-FR"/>
        </w:rPr>
        <w:t>“</w:t>
      </w:r>
      <w:r w:rsidRPr="00384202">
        <w:rPr>
          <w:rFonts w:asciiTheme="majorHAnsi" w:eastAsia="Calibri" w:hAnsiTheme="majorHAnsi" w:cs="Arial"/>
          <w:color w:val="000000"/>
          <w:sz w:val="20"/>
          <w:lang w:val="de-DE" w:eastAsia="fr-FR"/>
        </w:rPr>
        <w:t xml:space="preserve"> arbeiten k</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 xml:space="preserve">nftig die Ingenieurteams der Renault Group mit PUNCH </w:t>
      </w:r>
      <w:proofErr w:type="spellStart"/>
      <w:r w:rsidRPr="00384202">
        <w:rPr>
          <w:rFonts w:asciiTheme="majorHAnsi" w:eastAsia="Calibri" w:hAnsiTheme="majorHAnsi" w:cs="Arial"/>
          <w:color w:val="000000"/>
          <w:sz w:val="20"/>
          <w:lang w:val="de-DE" w:eastAsia="fr-FR"/>
        </w:rPr>
        <w:t>engineering</w:t>
      </w:r>
      <w:proofErr w:type="spellEnd"/>
      <w:r w:rsidRPr="00384202">
        <w:rPr>
          <w:rFonts w:asciiTheme="majorHAnsi" w:eastAsia="Calibri" w:hAnsiTheme="majorHAnsi" w:cs="Arial"/>
          <w:color w:val="000000"/>
          <w:sz w:val="20"/>
          <w:lang w:val="de-DE" w:eastAsia="fr-FR"/>
        </w:rPr>
        <w:t xml:space="preserve"> gemeinsam an der Entwicklung emissionsarmer Dieselmotoren f</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r leichte Nutzfahrzeuge. Erstes Projekt sind die Euro 6- und Euro 7-Varianten der Renault Vierzylinder-Dieselmotoren f</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r leichte Nutzfahrzeuge, die ab 2025 produziert werden sollen. Die Motoren werden im franz</w:t>
      </w:r>
      <w:r w:rsidRPr="00384202">
        <w:rPr>
          <w:rFonts w:asciiTheme="majorHAnsi" w:eastAsia="Calibri" w:hAnsiTheme="majorHAnsi" w:cs="Arial" w:hint="cs"/>
          <w:color w:val="000000"/>
          <w:sz w:val="20"/>
          <w:lang w:val="de-DE" w:eastAsia="fr-FR"/>
        </w:rPr>
        <w:t>ö</w:t>
      </w:r>
      <w:r w:rsidRPr="00384202">
        <w:rPr>
          <w:rFonts w:asciiTheme="majorHAnsi" w:eastAsia="Calibri" w:hAnsiTheme="majorHAnsi" w:cs="Arial"/>
          <w:color w:val="000000"/>
          <w:sz w:val="20"/>
          <w:lang w:val="de-DE" w:eastAsia="fr-FR"/>
        </w:rPr>
        <w:t>sischen Werk Cl</w:t>
      </w:r>
      <w:r w:rsidRPr="00384202">
        <w:rPr>
          <w:rFonts w:asciiTheme="majorHAnsi" w:eastAsia="Calibri" w:hAnsiTheme="majorHAnsi" w:cs="Arial" w:hint="cs"/>
          <w:color w:val="000000"/>
          <w:sz w:val="20"/>
          <w:lang w:val="de-DE" w:eastAsia="fr-FR"/>
        </w:rPr>
        <w:t>é</w:t>
      </w:r>
      <w:r w:rsidRPr="00384202">
        <w:rPr>
          <w:rFonts w:asciiTheme="majorHAnsi" w:eastAsia="Calibri" w:hAnsiTheme="majorHAnsi" w:cs="Arial"/>
          <w:color w:val="000000"/>
          <w:sz w:val="20"/>
          <w:lang w:val="de-DE" w:eastAsia="fr-FR"/>
        </w:rPr>
        <w:t>on in der Normandie hergestellt.</w:t>
      </w:r>
    </w:p>
    <w:p w14:paraId="2013F543" w14:textId="77777777" w:rsidR="00384202" w:rsidRPr="00384202" w:rsidRDefault="00384202" w:rsidP="00384202">
      <w:pPr>
        <w:autoSpaceDE w:val="0"/>
        <w:autoSpaceDN w:val="0"/>
        <w:adjustRightInd w:val="0"/>
        <w:spacing w:after="240" w:line="280" w:lineRule="atLeast"/>
        <w:jc w:val="both"/>
        <w:rPr>
          <w:rFonts w:asciiTheme="majorHAnsi" w:eastAsia="Calibri" w:hAnsiTheme="majorHAnsi" w:cs="Arial"/>
          <w:color w:val="000000"/>
          <w:sz w:val="20"/>
          <w:lang w:val="de-DE" w:eastAsia="fr-FR"/>
        </w:rPr>
      </w:pPr>
      <w:r w:rsidRPr="00384202">
        <w:rPr>
          <w:rFonts w:asciiTheme="majorHAnsi" w:eastAsia="Calibri" w:hAnsiTheme="majorHAnsi" w:cs="Arial"/>
          <w:color w:val="000000"/>
          <w:sz w:val="20"/>
          <w:lang w:val="de-DE" w:eastAsia="fr-FR"/>
        </w:rPr>
        <w:t>Die Vereinbarung erm</w:t>
      </w:r>
      <w:r w:rsidRPr="00384202">
        <w:rPr>
          <w:rFonts w:asciiTheme="majorHAnsi" w:eastAsia="Calibri" w:hAnsiTheme="majorHAnsi" w:cs="Arial" w:hint="cs"/>
          <w:color w:val="000000"/>
          <w:sz w:val="20"/>
          <w:lang w:val="de-DE" w:eastAsia="fr-FR"/>
        </w:rPr>
        <w:t>ö</w:t>
      </w:r>
      <w:r w:rsidRPr="00384202">
        <w:rPr>
          <w:rFonts w:asciiTheme="majorHAnsi" w:eastAsia="Calibri" w:hAnsiTheme="majorHAnsi" w:cs="Arial"/>
          <w:color w:val="000000"/>
          <w:sz w:val="20"/>
          <w:lang w:val="de-DE" w:eastAsia="fr-FR"/>
        </w:rPr>
        <w:t>glicht PUNCH auf die langj</w:t>
      </w:r>
      <w:r w:rsidRPr="00384202">
        <w:rPr>
          <w:rFonts w:asciiTheme="majorHAnsi" w:eastAsia="Calibri" w:hAnsiTheme="majorHAnsi" w:cs="Arial" w:hint="cs"/>
          <w:color w:val="000000"/>
          <w:sz w:val="20"/>
          <w:lang w:val="de-DE" w:eastAsia="fr-FR"/>
        </w:rPr>
        <w:t>ä</w:t>
      </w:r>
      <w:r w:rsidRPr="00384202">
        <w:rPr>
          <w:rFonts w:asciiTheme="majorHAnsi" w:eastAsia="Calibri" w:hAnsiTheme="majorHAnsi" w:cs="Arial"/>
          <w:color w:val="000000"/>
          <w:sz w:val="20"/>
          <w:lang w:val="de-DE" w:eastAsia="fr-FR"/>
        </w:rPr>
        <w:t>hrige Erfahrung der Renault Group in der Motorenproduktion zuzugreifen und das Knowhow der Teams in Cleon zu nutzen, um hochmoderne Dieselmotoren zu entwickeln, die den europ</w:t>
      </w:r>
      <w:r w:rsidRPr="00384202">
        <w:rPr>
          <w:rFonts w:asciiTheme="majorHAnsi" w:eastAsia="Calibri" w:hAnsiTheme="majorHAnsi" w:cs="Arial" w:hint="cs"/>
          <w:color w:val="000000"/>
          <w:sz w:val="20"/>
          <w:lang w:val="de-DE" w:eastAsia="fr-FR"/>
        </w:rPr>
        <w:t>ä</w:t>
      </w:r>
      <w:r w:rsidRPr="00384202">
        <w:rPr>
          <w:rFonts w:asciiTheme="majorHAnsi" w:eastAsia="Calibri" w:hAnsiTheme="majorHAnsi" w:cs="Arial"/>
          <w:color w:val="000000"/>
          <w:sz w:val="20"/>
          <w:lang w:val="de-DE" w:eastAsia="fr-FR"/>
        </w:rPr>
        <w:t>ischen Vorschriften und den Kundenanforderungen entsprechen. Die Renault Group profitiert wiederum von der umfassenden technischen Kompetenz von PUNCH Torino in der Motorenentwicklung, die das Unternehmen in mehr als 15 Jahren Zusammenarbeit mit einem globalen Automobilhersteller unter Beweis gestellt hat.</w:t>
      </w:r>
    </w:p>
    <w:p w14:paraId="38B4C03D" w14:textId="77777777" w:rsidR="00384202" w:rsidRPr="00384202" w:rsidRDefault="00384202" w:rsidP="00384202">
      <w:pPr>
        <w:autoSpaceDE w:val="0"/>
        <w:autoSpaceDN w:val="0"/>
        <w:adjustRightInd w:val="0"/>
        <w:spacing w:after="240" w:line="280" w:lineRule="atLeast"/>
        <w:jc w:val="both"/>
        <w:rPr>
          <w:rFonts w:asciiTheme="majorHAnsi" w:eastAsia="Calibri" w:hAnsiTheme="majorHAnsi" w:cs="Arial"/>
          <w:color w:val="000000"/>
          <w:sz w:val="20"/>
          <w:lang w:val="de-DE" w:eastAsia="fr-FR"/>
        </w:rPr>
      </w:pPr>
      <w:r w:rsidRPr="00384202">
        <w:rPr>
          <w:rFonts w:asciiTheme="majorHAnsi" w:eastAsia="Calibri" w:hAnsiTheme="majorHAnsi" w:cs="Arial"/>
          <w:color w:val="000000"/>
          <w:sz w:val="20"/>
          <w:lang w:val="de-DE" w:eastAsia="fr-FR"/>
        </w:rPr>
        <w:t xml:space="preserve">Hierzu </w:t>
      </w:r>
      <w:r w:rsidRPr="00384202">
        <w:rPr>
          <w:rFonts w:asciiTheme="majorHAnsi" w:eastAsia="Calibri" w:hAnsiTheme="majorHAnsi" w:cs="Arial"/>
          <w:b/>
          <w:bCs/>
          <w:color w:val="000000"/>
          <w:sz w:val="20"/>
          <w:lang w:val="de-DE" w:eastAsia="fr-FR"/>
        </w:rPr>
        <w:t xml:space="preserve">Gilles Le </w:t>
      </w:r>
      <w:proofErr w:type="spellStart"/>
      <w:r w:rsidRPr="00384202">
        <w:rPr>
          <w:rFonts w:asciiTheme="majorHAnsi" w:eastAsia="Calibri" w:hAnsiTheme="majorHAnsi" w:cs="Arial"/>
          <w:b/>
          <w:bCs/>
          <w:color w:val="000000"/>
          <w:sz w:val="20"/>
          <w:lang w:val="de-DE" w:eastAsia="fr-FR"/>
        </w:rPr>
        <w:t>Borgne</w:t>
      </w:r>
      <w:proofErr w:type="spellEnd"/>
      <w:r w:rsidRPr="00384202">
        <w:rPr>
          <w:rFonts w:asciiTheme="majorHAnsi" w:eastAsia="Calibri" w:hAnsiTheme="majorHAnsi" w:cs="Arial"/>
          <w:b/>
          <w:bCs/>
          <w:color w:val="000000"/>
          <w:sz w:val="20"/>
          <w:lang w:val="de-DE" w:eastAsia="fr-FR"/>
        </w:rPr>
        <w:t xml:space="preserve">, Renault Engineering Executive </w:t>
      </w:r>
      <w:proofErr w:type="spellStart"/>
      <w:r w:rsidRPr="00384202">
        <w:rPr>
          <w:rFonts w:asciiTheme="majorHAnsi" w:eastAsia="Calibri" w:hAnsiTheme="majorHAnsi" w:cs="Arial"/>
          <w:b/>
          <w:bCs/>
          <w:color w:val="000000"/>
          <w:sz w:val="20"/>
          <w:lang w:val="de-DE" w:eastAsia="fr-FR"/>
        </w:rPr>
        <w:t>Vice-President</w:t>
      </w:r>
      <w:proofErr w:type="spellEnd"/>
      <w:r w:rsidRPr="00384202">
        <w:rPr>
          <w:rFonts w:asciiTheme="majorHAnsi" w:eastAsia="Calibri" w:hAnsiTheme="majorHAnsi" w:cs="Arial"/>
          <w:b/>
          <w:bCs/>
          <w:color w:val="000000"/>
          <w:sz w:val="20"/>
          <w:lang w:val="de-DE" w:eastAsia="fr-FR"/>
        </w:rPr>
        <w:t xml:space="preserve">: </w:t>
      </w:r>
      <w:r w:rsidRPr="00384202">
        <w:rPr>
          <w:rFonts w:asciiTheme="majorHAnsi" w:eastAsia="Calibri" w:hAnsiTheme="majorHAnsi" w:cs="Arial" w:hint="cs"/>
          <w:i/>
          <w:iCs/>
          <w:color w:val="000000"/>
          <w:sz w:val="20"/>
          <w:lang w:val="de-DE" w:eastAsia="fr-FR"/>
        </w:rPr>
        <w:t>„</w:t>
      </w:r>
      <w:r w:rsidRPr="00384202">
        <w:rPr>
          <w:rFonts w:asciiTheme="majorHAnsi" w:eastAsia="Calibri" w:hAnsiTheme="majorHAnsi" w:cs="Arial"/>
          <w:i/>
          <w:iCs/>
          <w:color w:val="000000"/>
          <w:sz w:val="20"/>
          <w:lang w:val="de-DE" w:eastAsia="fr-FR"/>
        </w:rPr>
        <w:t xml:space="preserve">Wir freuen uns </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ber die Partnerschaft mit PUNCH Torino, einem Unternehmen, das f</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 xml:space="preserve">r seine </w:t>
      </w:r>
      <w:proofErr w:type="spellStart"/>
      <w:r w:rsidRPr="00384202">
        <w:rPr>
          <w:rFonts w:asciiTheme="majorHAnsi" w:eastAsia="Calibri" w:hAnsiTheme="majorHAnsi" w:cs="Arial"/>
          <w:i/>
          <w:iCs/>
          <w:color w:val="000000"/>
          <w:sz w:val="20"/>
          <w:lang w:val="de-DE" w:eastAsia="fr-FR"/>
        </w:rPr>
        <w:t>Transporterkundschaft</w:t>
      </w:r>
      <w:proofErr w:type="spellEnd"/>
      <w:r w:rsidRPr="00384202">
        <w:rPr>
          <w:rFonts w:asciiTheme="majorHAnsi" w:eastAsia="Calibri" w:hAnsiTheme="majorHAnsi" w:cs="Arial"/>
          <w:i/>
          <w:iCs/>
          <w:color w:val="000000"/>
          <w:sz w:val="20"/>
          <w:lang w:val="de-DE" w:eastAsia="fr-FR"/>
        </w:rPr>
        <w:t xml:space="preserve"> Vierzylinder-Dieselmotoren von Renault kaufen wird. Das Projekt </w:t>
      </w:r>
      <w:r w:rsidRPr="00384202">
        <w:rPr>
          <w:rFonts w:asciiTheme="majorHAnsi" w:eastAsia="Calibri" w:hAnsiTheme="majorHAnsi" w:cs="Arial" w:hint="cs"/>
          <w:i/>
          <w:iCs/>
          <w:color w:val="000000"/>
          <w:sz w:val="20"/>
          <w:lang w:val="de-DE" w:eastAsia="fr-FR"/>
        </w:rPr>
        <w:t>‚</w:t>
      </w:r>
      <w:proofErr w:type="spellStart"/>
      <w:r w:rsidRPr="00384202">
        <w:rPr>
          <w:rFonts w:asciiTheme="majorHAnsi" w:eastAsia="Calibri" w:hAnsiTheme="majorHAnsi" w:cs="Arial"/>
          <w:i/>
          <w:iCs/>
          <w:color w:val="000000"/>
          <w:sz w:val="20"/>
          <w:lang w:val="de-DE" w:eastAsia="fr-FR"/>
        </w:rPr>
        <w:t>Horse</w:t>
      </w:r>
      <w:proofErr w:type="spellEnd"/>
      <w:r w:rsidRPr="00384202">
        <w:rPr>
          <w:rFonts w:asciiTheme="majorHAnsi" w:eastAsia="Calibri" w:hAnsiTheme="majorHAnsi" w:cs="Arial" w:hint="cs"/>
          <w:i/>
          <w:iCs/>
          <w:color w:val="000000"/>
          <w:sz w:val="20"/>
          <w:lang w:val="de-DE" w:eastAsia="fr-FR"/>
        </w:rPr>
        <w:t>‘</w:t>
      </w:r>
      <w:r w:rsidRPr="00384202">
        <w:rPr>
          <w:rFonts w:asciiTheme="majorHAnsi" w:eastAsia="Calibri" w:hAnsiTheme="majorHAnsi" w:cs="Arial"/>
          <w:i/>
          <w:iCs/>
          <w:color w:val="000000"/>
          <w:sz w:val="20"/>
          <w:lang w:val="de-DE" w:eastAsia="fr-FR"/>
        </w:rPr>
        <w:t xml:space="preserve"> er</w:t>
      </w:r>
      <w:r w:rsidRPr="00384202">
        <w:rPr>
          <w:rFonts w:asciiTheme="majorHAnsi" w:eastAsia="Calibri" w:hAnsiTheme="majorHAnsi" w:cs="Arial" w:hint="cs"/>
          <w:i/>
          <w:iCs/>
          <w:color w:val="000000"/>
          <w:sz w:val="20"/>
          <w:lang w:val="de-DE" w:eastAsia="fr-FR"/>
        </w:rPr>
        <w:t>ö</w:t>
      </w:r>
      <w:r w:rsidRPr="00384202">
        <w:rPr>
          <w:rFonts w:asciiTheme="majorHAnsi" w:eastAsia="Calibri" w:hAnsiTheme="majorHAnsi" w:cs="Arial"/>
          <w:i/>
          <w:iCs/>
          <w:color w:val="000000"/>
          <w:sz w:val="20"/>
          <w:lang w:val="de-DE" w:eastAsia="fr-FR"/>
        </w:rPr>
        <w:t>ffnet uns neue Marktchancen. Die gemeinsame Nutzung von Kompetenzen und Investitionen ist der Schl</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ssel zur Entwicklung effektiver Verbrennungsmotoren, welche die k</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nftigen europ</w:t>
      </w:r>
      <w:r w:rsidRPr="00384202">
        <w:rPr>
          <w:rFonts w:asciiTheme="majorHAnsi" w:eastAsia="Calibri" w:hAnsiTheme="majorHAnsi" w:cs="Arial" w:hint="cs"/>
          <w:i/>
          <w:iCs/>
          <w:color w:val="000000"/>
          <w:sz w:val="20"/>
          <w:lang w:val="de-DE" w:eastAsia="fr-FR"/>
        </w:rPr>
        <w:t>ä</w:t>
      </w:r>
      <w:r w:rsidRPr="00384202">
        <w:rPr>
          <w:rFonts w:asciiTheme="majorHAnsi" w:eastAsia="Calibri" w:hAnsiTheme="majorHAnsi" w:cs="Arial"/>
          <w:i/>
          <w:iCs/>
          <w:color w:val="000000"/>
          <w:sz w:val="20"/>
          <w:lang w:val="de-DE" w:eastAsia="fr-FR"/>
        </w:rPr>
        <w:t>ischen Vorschriften erf</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llen und gleichzeitig die Auswirkungen auf die Umwelt reduzieren.</w:t>
      </w:r>
      <w:r w:rsidRPr="00384202">
        <w:rPr>
          <w:rFonts w:asciiTheme="majorHAnsi" w:eastAsia="Calibri" w:hAnsiTheme="majorHAnsi" w:cs="Arial" w:hint="cs"/>
          <w:i/>
          <w:iCs/>
          <w:color w:val="000000"/>
          <w:sz w:val="20"/>
          <w:lang w:val="de-DE" w:eastAsia="fr-FR"/>
        </w:rPr>
        <w:t>“</w:t>
      </w:r>
    </w:p>
    <w:p w14:paraId="093FC725" w14:textId="77777777" w:rsidR="00384202" w:rsidRPr="00384202" w:rsidRDefault="00384202" w:rsidP="00384202">
      <w:pPr>
        <w:autoSpaceDE w:val="0"/>
        <w:autoSpaceDN w:val="0"/>
        <w:adjustRightInd w:val="0"/>
        <w:spacing w:after="240" w:line="280" w:lineRule="atLeast"/>
        <w:jc w:val="both"/>
        <w:rPr>
          <w:rFonts w:asciiTheme="majorHAnsi" w:eastAsia="Calibri" w:hAnsiTheme="majorHAnsi" w:cs="Arial"/>
          <w:b/>
          <w:bCs/>
          <w:color w:val="000000"/>
          <w:sz w:val="20"/>
          <w:lang w:val="de-DE" w:eastAsia="fr-FR"/>
        </w:rPr>
      </w:pPr>
      <w:r w:rsidRPr="00384202">
        <w:rPr>
          <w:rFonts w:asciiTheme="majorHAnsi" w:eastAsia="Calibri" w:hAnsiTheme="majorHAnsi" w:cs="Arial" w:hint="cs"/>
          <w:i/>
          <w:iCs/>
          <w:color w:val="000000"/>
          <w:sz w:val="20"/>
          <w:lang w:val="de-DE" w:eastAsia="fr-FR"/>
        </w:rPr>
        <w:t>„</w:t>
      </w:r>
      <w:r w:rsidRPr="00384202">
        <w:rPr>
          <w:rFonts w:asciiTheme="majorHAnsi" w:eastAsia="Calibri" w:hAnsiTheme="majorHAnsi" w:cs="Arial"/>
          <w:i/>
          <w:iCs/>
          <w:color w:val="000000"/>
          <w:sz w:val="20"/>
          <w:lang w:val="de-DE" w:eastAsia="fr-FR"/>
        </w:rPr>
        <w:t xml:space="preserve">Wir freuen uns </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 xml:space="preserve">ber die neue Partnerschaft mit einem echten Global Player wie der Renault Group und damit </w:t>
      </w:r>
      <w:r w:rsidRPr="00384202">
        <w:rPr>
          <w:rFonts w:asciiTheme="majorHAnsi" w:eastAsia="Calibri" w:hAnsiTheme="majorHAnsi" w:cs="Arial" w:hint="cs"/>
          <w:i/>
          <w:iCs/>
          <w:color w:val="000000"/>
          <w:sz w:val="20"/>
          <w:lang w:val="de-DE" w:eastAsia="fr-FR"/>
        </w:rPr>
        <w:t>ü</w:t>
      </w:r>
      <w:r w:rsidRPr="00384202">
        <w:rPr>
          <w:rFonts w:asciiTheme="majorHAnsi" w:eastAsia="Calibri" w:hAnsiTheme="majorHAnsi" w:cs="Arial"/>
          <w:i/>
          <w:iCs/>
          <w:color w:val="000000"/>
          <w:sz w:val="20"/>
          <w:lang w:val="de-DE" w:eastAsia="fr-FR"/>
        </w:rPr>
        <w:t>ber die Erweiterung unseres Motorenportfolios</w:t>
      </w:r>
      <w:r w:rsidRPr="00384202">
        <w:rPr>
          <w:rFonts w:asciiTheme="majorHAnsi" w:eastAsia="Calibri" w:hAnsiTheme="majorHAnsi" w:cs="Arial" w:hint="cs"/>
          <w:i/>
          <w:iCs/>
          <w:color w:val="000000"/>
          <w:sz w:val="20"/>
          <w:lang w:val="de-DE" w:eastAsia="fr-FR"/>
        </w:rPr>
        <w:t>“</w:t>
      </w:r>
      <w:r w:rsidRPr="00384202">
        <w:rPr>
          <w:rFonts w:asciiTheme="majorHAnsi" w:eastAsia="Calibri" w:hAnsiTheme="majorHAnsi" w:cs="Arial"/>
          <w:color w:val="000000"/>
          <w:sz w:val="20"/>
          <w:lang w:val="de-DE" w:eastAsia="fr-FR"/>
        </w:rPr>
        <w:t xml:space="preserve">, sagte </w:t>
      </w:r>
      <w:r w:rsidRPr="00384202">
        <w:rPr>
          <w:rFonts w:asciiTheme="majorHAnsi" w:eastAsia="Calibri" w:hAnsiTheme="majorHAnsi" w:cs="Arial"/>
          <w:b/>
          <w:bCs/>
          <w:color w:val="000000"/>
          <w:sz w:val="20"/>
          <w:lang w:val="de-DE" w:eastAsia="fr-FR"/>
        </w:rPr>
        <w:t xml:space="preserve">Pierpaolo </w:t>
      </w:r>
      <w:proofErr w:type="spellStart"/>
      <w:r w:rsidRPr="00384202">
        <w:rPr>
          <w:rFonts w:asciiTheme="majorHAnsi" w:eastAsia="Calibri" w:hAnsiTheme="majorHAnsi" w:cs="Arial"/>
          <w:b/>
          <w:bCs/>
          <w:color w:val="000000"/>
          <w:sz w:val="20"/>
          <w:lang w:val="de-DE" w:eastAsia="fr-FR"/>
        </w:rPr>
        <w:t>Antonioli</w:t>
      </w:r>
      <w:proofErr w:type="spellEnd"/>
      <w:r w:rsidRPr="00384202">
        <w:rPr>
          <w:rFonts w:asciiTheme="majorHAnsi" w:eastAsia="Calibri" w:hAnsiTheme="majorHAnsi" w:cs="Arial"/>
          <w:b/>
          <w:bCs/>
          <w:color w:val="000000"/>
          <w:sz w:val="20"/>
          <w:lang w:val="de-DE" w:eastAsia="fr-FR"/>
        </w:rPr>
        <w:t>, Chief Technology Officer der PUNCH-Gruppe und Chief Executive Officer von PUNCH Torino.</w:t>
      </w:r>
    </w:p>
    <w:p w14:paraId="165F4F43" w14:textId="2CE5C30E" w:rsidR="0089420A" w:rsidRPr="0089420A" w:rsidRDefault="00384202" w:rsidP="00384202">
      <w:pPr>
        <w:autoSpaceDE w:val="0"/>
        <w:autoSpaceDN w:val="0"/>
        <w:adjustRightInd w:val="0"/>
        <w:spacing w:after="240" w:line="280" w:lineRule="atLeast"/>
        <w:jc w:val="both"/>
        <w:rPr>
          <w:rFonts w:asciiTheme="majorHAnsi" w:eastAsia="Calibri" w:hAnsiTheme="majorHAnsi" w:cs="Arial"/>
          <w:color w:val="000000"/>
          <w:sz w:val="20"/>
          <w:lang w:val="de-DE" w:eastAsia="fr-FR"/>
        </w:rPr>
      </w:pPr>
      <w:r w:rsidRPr="00384202">
        <w:rPr>
          <w:rFonts w:asciiTheme="majorHAnsi" w:eastAsia="Calibri" w:hAnsiTheme="majorHAnsi" w:cs="Arial"/>
          <w:color w:val="000000"/>
          <w:sz w:val="20"/>
          <w:lang w:val="de-DE" w:eastAsia="fr-FR"/>
        </w:rPr>
        <w:t>Die Vereinbarung erm</w:t>
      </w:r>
      <w:r w:rsidRPr="00384202">
        <w:rPr>
          <w:rFonts w:asciiTheme="majorHAnsi" w:eastAsia="Calibri" w:hAnsiTheme="majorHAnsi" w:cs="Arial" w:hint="cs"/>
          <w:color w:val="000000"/>
          <w:sz w:val="20"/>
          <w:lang w:val="de-DE" w:eastAsia="fr-FR"/>
        </w:rPr>
        <w:t>ö</w:t>
      </w:r>
      <w:r w:rsidRPr="00384202">
        <w:rPr>
          <w:rFonts w:asciiTheme="majorHAnsi" w:eastAsia="Calibri" w:hAnsiTheme="majorHAnsi" w:cs="Arial"/>
          <w:color w:val="000000"/>
          <w:sz w:val="20"/>
          <w:lang w:val="de-DE" w:eastAsia="fr-FR"/>
        </w:rPr>
        <w:t>glicht auch eine weitergehende Kooperation in der Zukunft, wie etwa die gemeinschaftliche Entwicklung wasserstoffbetriebener Verbrennungsmotoren. PUNCH verf</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gt hierf</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 xml:space="preserve">r durch seine Tochtergesellschaft PUNCH </w:t>
      </w:r>
      <w:proofErr w:type="spellStart"/>
      <w:r w:rsidRPr="00384202">
        <w:rPr>
          <w:rFonts w:asciiTheme="majorHAnsi" w:eastAsia="Calibri" w:hAnsiTheme="majorHAnsi" w:cs="Arial"/>
          <w:color w:val="000000"/>
          <w:sz w:val="20"/>
          <w:lang w:val="de-DE" w:eastAsia="fr-FR"/>
        </w:rPr>
        <w:t>Hydrocells</w:t>
      </w:r>
      <w:proofErr w:type="spellEnd"/>
      <w:r w:rsidRPr="00384202">
        <w:rPr>
          <w:rFonts w:asciiTheme="majorHAnsi" w:eastAsia="Calibri" w:hAnsiTheme="majorHAnsi" w:cs="Arial"/>
          <w:color w:val="000000"/>
          <w:sz w:val="20"/>
          <w:lang w:val="de-DE" w:eastAsia="fr-FR"/>
        </w:rPr>
        <w:t xml:space="preserve"> </w:t>
      </w:r>
      <w:r w:rsidRPr="00384202">
        <w:rPr>
          <w:rFonts w:asciiTheme="majorHAnsi" w:eastAsia="Calibri" w:hAnsiTheme="majorHAnsi" w:cs="Arial" w:hint="cs"/>
          <w:color w:val="000000"/>
          <w:sz w:val="20"/>
          <w:lang w:val="de-DE" w:eastAsia="fr-FR"/>
        </w:rPr>
        <w:t>ü</w:t>
      </w:r>
      <w:r w:rsidRPr="00384202">
        <w:rPr>
          <w:rFonts w:asciiTheme="majorHAnsi" w:eastAsia="Calibri" w:hAnsiTheme="majorHAnsi" w:cs="Arial"/>
          <w:color w:val="000000"/>
          <w:sz w:val="20"/>
          <w:lang w:val="de-DE" w:eastAsia="fr-FR"/>
        </w:rPr>
        <w:t>ber umfassendes Know-how.</w:t>
      </w:r>
    </w:p>
    <w:bookmarkEnd w:id="1"/>
    <w:p w14:paraId="7C92CC54" w14:textId="77777777" w:rsidR="004C36CE" w:rsidRDefault="004C36CE" w:rsidP="004C36CE">
      <w:pPr>
        <w:spacing w:before="0"/>
        <w:contextualSpacing/>
        <w:jc w:val="center"/>
        <w:rPr>
          <w:rStyle w:val="Hyperlink"/>
          <w:b/>
          <w:bCs/>
          <w:color w:val="auto"/>
          <w:lang w:val="de-CH"/>
        </w:rPr>
      </w:pPr>
    </w:p>
    <w:p w14:paraId="2AFF33DA" w14:textId="1541136C" w:rsidR="004C36CE" w:rsidRPr="00DA3BA4" w:rsidRDefault="004C36CE" w:rsidP="004C36CE">
      <w:pPr>
        <w:spacing w:before="0"/>
        <w:contextualSpacing/>
        <w:jc w:val="center"/>
        <w:rPr>
          <w:rStyle w:val="Hyperlink"/>
          <w:b/>
          <w:bCs/>
          <w:color w:val="auto"/>
          <w:lang w:val="de-CH"/>
        </w:rPr>
      </w:pPr>
      <w:r w:rsidRPr="00DA3BA4">
        <w:rPr>
          <w:rStyle w:val="Hyperlink"/>
          <w:b/>
          <w:bCs/>
          <w:color w:val="auto"/>
          <w:lang w:val="de-CH"/>
        </w:rPr>
        <w:t>*</w:t>
      </w:r>
      <w:r>
        <w:rPr>
          <w:rStyle w:val="Hyperlink"/>
          <w:b/>
          <w:bCs/>
          <w:color w:val="auto"/>
          <w:lang w:val="de-CH"/>
        </w:rPr>
        <w:t xml:space="preserve"> </w:t>
      </w:r>
      <w:r w:rsidRPr="00DA3BA4">
        <w:rPr>
          <w:rStyle w:val="Hyperlink"/>
          <w:b/>
          <w:bCs/>
          <w:color w:val="auto"/>
          <w:lang w:val="de-CH"/>
        </w:rPr>
        <w:t>* *</w:t>
      </w:r>
    </w:p>
    <w:p w14:paraId="6FA9FCFF" w14:textId="77777777" w:rsidR="004C36CE" w:rsidRDefault="004C36CE" w:rsidP="004C36CE">
      <w:pPr>
        <w:spacing w:before="0"/>
        <w:contextualSpacing/>
        <w:jc w:val="both"/>
        <w:rPr>
          <w:rStyle w:val="Hyperlink"/>
          <w:b/>
          <w:bCs/>
          <w:color w:val="auto"/>
          <w:lang w:val="de-CH"/>
        </w:rPr>
      </w:pPr>
    </w:p>
    <w:p w14:paraId="040A303E" w14:textId="77777777" w:rsidR="00384202" w:rsidRDefault="00384202">
      <w:pPr>
        <w:spacing w:before="0" w:line="240" w:lineRule="auto"/>
        <w:rPr>
          <w:rStyle w:val="Hyperlink"/>
          <w:b/>
          <w:bCs/>
          <w:color w:val="auto"/>
          <w:lang w:val="de-CH"/>
        </w:rPr>
      </w:pPr>
      <w:r>
        <w:rPr>
          <w:rStyle w:val="Hyperlink"/>
          <w:b/>
          <w:bCs/>
          <w:color w:val="auto"/>
          <w:lang w:val="de-CH"/>
        </w:rPr>
        <w:br w:type="page"/>
      </w:r>
    </w:p>
    <w:p w14:paraId="675BBEA4" w14:textId="0578BD7E" w:rsidR="004C36CE" w:rsidRPr="002F0B77" w:rsidRDefault="004C36CE" w:rsidP="004C36CE">
      <w:pPr>
        <w:spacing w:before="0"/>
        <w:contextualSpacing/>
        <w:jc w:val="both"/>
        <w:rPr>
          <w:rStyle w:val="Hyperlink"/>
          <w:b/>
          <w:bCs/>
          <w:color w:val="auto"/>
          <w:lang w:val="de-CH"/>
        </w:rPr>
      </w:pPr>
      <w:r w:rsidRPr="002F0B77">
        <w:rPr>
          <w:rStyle w:val="Hyperlink"/>
          <w:b/>
          <w:bCs/>
          <w:color w:val="auto"/>
          <w:lang w:val="de-CH"/>
        </w:rPr>
        <w:lastRenderedPageBreak/>
        <w:t>Über die Renault Group</w:t>
      </w:r>
    </w:p>
    <w:p w14:paraId="45AD8B18" w14:textId="77777777" w:rsidR="004C36CE" w:rsidRPr="002F0B77" w:rsidRDefault="004C36CE" w:rsidP="004C36CE">
      <w:pPr>
        <w:spacing w:before="0"/>
        <w:contextualSpacing/>
        <w:jc w:val="both"/>
        <w:rPr>
          <w:rStyle w:val="Hyperlink"/>
          <w:color w:val="auto"/>
          <w:lang w:val="de-CH"/>
        </w:rPr>
      </w:pPr>
      <w:r w:rsidRPr="003D6283">
        <w:rPr>
          <w:rStyle w:val="Hyperlink"/>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w:t>
      </w:r>
      <w:proofErr w:type="spellStart"/>
      <w:r w:rsidRPr="003D6283">
        <w:rPr>
          <w:rStyle w:val="Hyperlink"/>
          <w:color w:val="auto"/>
          <w:lang w:val="de-CH"/>
        </w:rPr>
        <w:t>Mobilize</w:t>
      </w:r>
      <w:proofErr w:type="spellEnd"/>
      <w:r w:rsidRPr="003D6283">
        <w:rPr>
          <w:rStyle w:val="Hyperlink"/>
          <w:color w:val="auto"/>
          <w:lang w:val="de-CH"/>
        </w:rPr>
        <w:t xml:space="preserve"> bietet sie ihren Kunden nachhaltige und innovative Mobilitätslösungen. Die Gruppe ist in mehr als 130 Ländern vertreten und hat im Jahr 2021 2,7 Millionen Fahrzeuge verkauft. Sie beschäftigt rund 111</w:t>
      </w:r>
      <w:r>
        <w:rPr>
          <w:rStyle w:val="Hyperlink"/>
          <w:color w:val="auto"/>
          <w:lang w:val="de-CH"/>
        </w:rPr>
        <w:t>’</w:t>
      </w:r>
      <w:r w:rsidRPr="003D6283">
        <w:rPr>
          <w:rStyle w:val="Hyperlink"/>
          <w:color w:val="auto"/>
          <w:lang w:val="de-CH"/>
        </w:rPr>
        <w:t xml:space="preserve">000 Mitarbeiter, die jeden Tag danach streben, dass Mobilität die Menschen einander näher bringt.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 </w:t>
      </w:r>
      <w:hyperlink r:id="rId11" w:history="1">
        <w:r w:rsidRPr="00CF791D">
          <w:rPr>
            <w:rStyle w:val="Hyperlink"/>
            <w:lang w:val="de-CH"/>
          </w:rPr>
          <w:t>https://www.renaultgroup.com/en/</w:t>
        </w:r>
      </w:hyperlink>
      <w:r>
        <w:rPr>
          <w:rStyle w:val="Hyperlink"/>
          <w:color w:val="auto"/>
          <w:lang w:val="de-CH"/>
        </w:rPr>
        <w:t xml:space="preserve"> </w:t>
      </w:r>
    </w:p>
    <w:p w14:paraId="2DBDF8AD" w14:textId="77777777" w:rsidR="004C36CE" w:rsidRDefault="004C36CE" w:rsidP="004C36CE">
      <w:pPr>
        <w:spacing w:before="0"/>
        <w:contextualSpacing/>
        <w:jc w:val="both"/>
        <w:rPr>
          <w:rStyle w:val="Hyperlink"/>
          <w:color w:val="auto"/>
          <w:lang w:val="de-CH"/>
        </w:rPr>
      </w:pPr>
    </w:p>
    <w:p w14:paraId="6BF9E055" w14:textId="5B571217" w:rsidR="004C36CE" w:rsidRPr="002F0B77" w:rsidRDefault="004C36CE" w:rsidP="004C36CE">
      <w:pPr>
        <w:spacing w:before="0"/>
        <w:contextualSpacing/>
        <w:jc w:val="both"/>
        <w:rPr>
          <w:rStyle w:val="Hyperlink"/>
          <w:color w:val="auto"/>
          <w:lang w:val="de-CH"/>
        </w:rPr>
      </w:pPr>
      <w:r w:rsidRPr="002F0B77">
        <w:rPr>
          <w:rStyle w:val="Hyperlink"/>
          <w:color w:val="auto"/>
          <w:lang w:val="de-CH"/>
        </w:rPr>
        <w:t>In der Schweiz ist Renault seit 1927 vertreten. Heute vermarktet und vertreibt die Renault Suisse SA die Marken Renault, Dacia und Alpine. Im Jahr 2021 wurden mehr als 19’850 neue Personenwagen und leichte Nutzfahrzeuge der Renault Gruppe in der Schweiz immatrikuliert. Mit den 100 % elektrisch angetriebenen Modellen Z</w:t>
      </w:r>
      <w:r>
        <w:rPr>
          <w:rStyle w:val="Hyperlink"/>
          <w:color w:val="auto"/>
          <w:lang w:val="de-CH"/>
        </w:rPr>
        <w:t>oe</w:t>
      </w:r>
      <w:r w:rsidRPr="002F0B77">
        <w:rPr>
          <w:rStyle w:val="Hyperlink"/>
          <w:color w:val="auto"/>
          <w:lang w:val="de-CH"/>
        </w:rPr>
        <w:t xml:space="preserve"> E-Tech Electric, Twingo E-Tech Electric, Kangoo E-Tech Electric und Master E-Tech Electric, und den Hybrid-Versionen von Arkana, M</w:t>
      </w:r>
      <w:r>
        <w:rPr>
          <w:rStyle w:val="Hyperlink"/>
          <w:color w:val="auto"/>
          <w:lang w:val="de-CH"/>
        </w:rPr>
        <w:t>e</w:t>
      </w:r>
      <w:r w:rsidRPr="002F0B77">
        <w:rPr>
          <w:rStyle w:val="Hyperlink"/>
          <w:color w:val="auto"/>
          <w:lang w:val="de-CH"/>
        </w:rPr>
        <w:t xml:space="preserve">gane, Clio und Captur ist bereits jeder dritte Neuwagen von Renault elektrifiziert. Megane E-Tech Electric, der neue SUV Austral und der neue Kangoo E-Tech Electric dürften die Position von Renault im E-Markt 2022 nochmals deutlich stärken. Das Händlernetz der drei Marken wird kontinuierlich ausgebaut und zählt mittlerweile 193 Partner, die Autos und Dienstleistungen an 213 Standorten anbieten. </w:t>
      </w: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4C36CE" w:rsidRPr="00384202" w14:paraId="76DA10A4" w14:textId="77777777" w:rsidTr="00F426E8">
        <w:trPr>
          <w:trHeight w:val="2159"/>
        </w:trPr>
        <w:tc>
          <w:tcPr>
            <w:tcW w:w="5328" w:type="dxa"/>
          </w:tcPr>
          <w:p w14:paraId="44AD9B09" w14:textId="77777777" w:rsidR="004C36CE" w:rsidRDefault="004C36CE" w:rsidP="00F426E8">
            <w:pPr>
              <w:pStyle w:val="Fuzeile"/>
              <w:rPr>
                <w:b/>
                <w:sz w:val="20"/>
                <w:lang w:val="en-GB"/>
              </w:rPr>
            </w:pPr>
            <w:r>
              <w:rPr>
                <w:b/>
                <w:sz w:val="20"/>
                <w:lang w:val="en-GB"/>
              </w:rPr>
              <w:t>PRESSEKONTAKT</w:t>
            </w:r>
          </w:p>
          <w:p w14:paraId="53217585" w14:textId="77777777" w:rsidR="004C36CE" w:rsidRDefault="004C36CE" w:rsidP="00F426E8">
            <w:pPr>
              <w:pStyle w:val="Fuzeile"/>
              <w:rPr>
                <w:b/>
                <w:sz w:val="20"/>
                <w:lang w:val="en-GB"/>
              </w:rPr>
            </w:pPr>
            <w:r>
              <w:rPr>
                <w:b/>
                <w:sz w:val="20"/>
                <w:lang w:val="en-GB"/>
              </w:rPr>
              <w:t>RENAULT SUISSE</w:t>
            </w:r>
          </w:p>
        </w:tc>
        <w:tc>
          <w:tcPr>
            <w:tcW w:w="78" w:type="dxa"/>
          </w:tcPr>
          <w:p w14:paraId="45A65392" w14:textId="77777777" w:rsidR="004C36CE" w:rsidRPr="00A330E9" w:rsidRDefault="004C36CE" w:rsidP="00F426E8">
            <w:pPr>
              <w:pStyle w:val="Fuzeile"/>
              <w:rPr>
                <w:sz w:val="20"/>
                <w:lang w:val="en-GB"/>
              </w:rPr>
            </w:pPr>
          </w:p>
        </w:tc>
        <w:tc>
          <w:tcPr>
            <w:tcW w:w="7771" w:type="dxa"/>
          </w:tcPr>
          <w:p w14:paraId="18E0E33B" w14:textId="77777777" w:rsidR="004C36CE" w:rsidRPr="002F0B77" w:rsidRDefault="004C36CE" w:rsidP="00F426E8">
            <w:pPr>
              <w:pStyle w:val="Fuzeile"/>
              <w:rPr>
                <w:sz w:val="20"/>
                <w:lang w:val="de-CH"/>
              </w:rPr>
            </w:pPr>
            <w:r w:rsidRPr="002F0B77">
              <w:rPr>
                <w:sz w:val="20"/>
                <w:lang w:val="de-CH"/>
              </w:rPr>
              <w:t>Karin Kirchner</w:t>
            </w:r>
          </w:p>
          <w:p w14:paraId="067A0416" w14:textId="77777777" w:rsidR="004C36CE" w:rsidRPr="002F0B77" w:rsidRDefault="004C36CE" w:rsidP="00F426E8">
            <w:pPr>
              <w:pStyle w:val="Fuzeile"/>
              <w:rPr>
                <w:sz w:val="20"/>
                <w:lang w:val="de-CH"/>
              </w:rPr>
            </w:pPr>
            <w:r w:rsidRPr="002F0B77">
              <w:rPr>
                <w:sz w:val="20"/>
                <w:lang w:val="de-CH"/>
              </w:rPr>
              <w:t>+41 44 777 02 48</w:t>
            </w:r>
          </w:p>
          <w:p w14:paraId="11FB7592" w14:textId="77777777" w:rsidR="004C36CE" w:rsidRPr="002F0B77" w:rsidRDefault="004C36CE" w:rsidP="00F426E8">
            <w:pPr>
              <w:pStyle w:val="Fuzeile"/>
              <w:rPr>
                <w:sz w:val="20"/>
                <w:lang w:val="de-CH"/>
              </w:rPr>
            </w:pPr>
            <w:r w:rsidRPr="002F0B77">
              <w:rPr>
                <w:rStyle w:val="Hyperlink"/>
                <w:sz w:val="20"/>
                <w:lang w:val="de-CH"/>
              </w:rPr>
              <w:t>Karin.kirchner@renault.com</w:t>
            </w:r>
          </w:p>
        </w:tc>
      </w:tr>
    </w:tbl>
    <w:p w14:paraId="07FE72B3" w14:textId="1EA7EB6B" w:rsidR="005176D9" w:rsidRPr="004C36CE" w:rsidRDefault="005176D9" w:rsidP="004C36CE">
      <w:pPr>
        <w:spacing w:line="240" w:lineRule="auto"/>
        <w:jc w:val="center"/>
        <w:rPr>
          <w:rFonts w:cstheme="minorHAnsi"/>
          <w:color w:val="3F3F3E"/>
          <w:sz w:val="20"/>
          <w:lang w:val="de-CH"/>
        </w:rPr>
      </w:pPr>
    </w:p>
    <w:sectPr w:rsidR="005176D9" w:rsidRPr="004C36CE" w:rsidSect="0023108B">
      <w:headerReference w:type="default" r:id="rId12"/>
      <w:footerReference w:type="default" r:id="rId13"/>
      <w:headerReference w:type="first" r:id="rId14"/>
      <w:footerReference w:type="first" r:id="rId15"/>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4C36CE" w:rsidRDefault="007D3970" w:rsidP="007D3970">
          <w:pPr>
            <w:pStyle w:val="Fuzeile"/>
            <w:rPr>
              <w:lang w:val="it-CH"/>
            </w:rPr>
          </w:pPr>
          <w:r w:rsidRPr="004C36CE">
            <w:rPr>
              <w:lang w:val="it-CH"/>
            </w:rPr>
            <w:t>+33 0 00 00 00</w:t>
          </w:r>
        </w:p>
        <w:p w14:paraId="7CDC4ABD" w14:textId="77777777" w:rsidR="007D3970" w:rsidRPr="004C36CE" w:rsidRDefault="007D3970" w:rsidP="007D3970">
          <w:pPr>
            <w:pStyle w:val="Fuzeile"/>
            <w:rPr>
              <w:lang w:val="it-CH"/>
            </w:rPr>
          </w:pPr>
          <w:r w:rsidRPr="004C36CE">
            <w:rPr>
              <w:lang w:val="it-CH"/>
            </w:rPr>
            <w:t xml:space="preserve">media.renault@renault.fr </w:t>
          </w:r>
        </w:p>
        <w:p w14:paraId="2A2C28BA" w14:textId="77777777" w:rsidR="007D3970" w:rsidRPr="004C36CE" w:rsidRDefault="007D3970" w:rsidP="007D3970">
          <w:pPr>
            <w:pStyle w:val="Fuzeile"/>
            <w:rPr>
              <w:lang w:val="it-CH"/>
            </w:rPr>
          </w:pPr>
          <w:r w:rsidRPr="004C36CE">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24044F"/>
    <w:multiLevelType w:val="hybridMultilevel"/>
    <w:tmpl w:val="FC4464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289459">
    <w:abstractNumId w:val="8"/>
  </w:num>
  <w:num w:numId="2" w16cid:durableId="70007626">
    <w:abstractNumId w:val="3"/>
  </w:num>
  <w:num w:numId="3" w16cid:durableId="1214850573">
    <w:abstractNumId w:val="2"/>
  </w:num>
  <w:num w:numId="4" w16cid:durableId="711459873">
    <w:abstractNumId w:val="1"/>
  </w:num>
  <w:num w:numId="5" w16cid:durableId="701591649">
    <w:abstractNumId w:val="0"/>
  </w:num>
  <w:num w:numId="6" w16cid:durableId="1602911841">
    <w:abstractNumId w:val="9"/>
  </w:num>
  <w:num w:numId="7" w16cid:durableId="1306156813">
    <w:abstractNumId w:val="7"/>
  </w:num>
  <w:num w:numId="8" w16cid:durableId="1382678533">
    <w:abstractNumId w:val="6"/>
  </w:num>
  <w:num w:numId="9" w16cid:durableId="1961835176">
    <w:abstractNumId w:val="5"/>
  </w:num>
  <w:num w:numId="10" w16cid:durableId="613559234">
    <w:abstractNumId w:val="4"/>
  </w:num>
  <w:num w:numId="11" w16cid:durableId="733969288">
    <w:abstractNumId w:val="27"/>
  </w:num>
  <w:num w:numId="12" w16cid:durableId="496386633">
    <w:abstractNumId w:val="20"/>
  </w:num>
  <w:num w:numId="13" w16cid:durableId="980034201">
    <w:abstractNumId w:val="19"/>
  </w:num>
  <w:num w:numId="14" w16cid:durableId="188684014">
    <w:abstractNumId w:val="23"/>
  </w:num>
  <w:num w:numId="15" w16cid:durableId="1285885967">
    <w:abstractNumId w:val="26"/>
  </w:num>
  <w:num w:numId="16" w16cid:durableId="1407147971">
    <w:abstractNumId w:val="10"/>
  </w:num>
  <w:num w:numId="17" w16cid:durableId="1370108082">
    <w:abstractNumId w:val="16"/>
  </w:num>
  <w:num w:numId="18" w16cid:durableId="253900964">
    <w:abstractNumId w:val="14"/>
  </w:num>
  <w:num w:numId="19" w16cid:durableId="1135950036">
    <w:abstractNumId w:val="24"/>
  </w:num>
  <w:num w:numId="20" w16cid:durableId="470563458">
    <w:abstractNumId w:val="13"/>
  </w:num>
  <w:num w:numId="21" w16cid:durableId="831331260">
    <w:abstractNumId w:val="21"/>
  </w:num>
  <w:num w:numId="22" w16cid:durableId="1086347459">
    <w:abstractNumId w:val="11"/>
  </w:num>
  <w:num w:numId="23" w16cid:durableId="206645851">
    <w:abstractNumId w:val="17"/>
  </w:num>
  <w:num w:numId="24" w16cid:durableId="686371907">
    <w:abstractNumId w:val="12"/>
  </w:num>
  <w:num w:numId="25" w16cid:durableId="2100253729">
    <w:abstractNumId w:val="18"/>
  </w:num>
  <w:num w:numId="26" w16cid:durableId="1208639159">
    <w:abstractNumId w:val="15"/>
  </w:num>
  <w:num w:numId="27" w16cid:durableId="641427698">
    <w:abstractNumId w:val="25"/>
  </w:num>
  <w:num w:numId="28" w16cid:durableId="195514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4202"/>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44DF"/>
    <w:rsid w:val="00465CE4"/>
    <w:rsid w:val="00467F26"/>
    <w:rsid w:val="00485B86"/>
    <w:rsid w:val="004B03DA"/>
    <w:rsid w:val="004B1EE4"/>
    <w:rsid w:val="004B761B"/>
    <w:rsid w:val="004C36CE"/>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1E20"/>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9420A"/>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C4842"/>
    <w:rsid w:val="00B06C13"/>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2.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2</cp:revision>
  <dcterms:created xsi:type="dcterms:W3CDTF">2023-01-13T10:03:00Z</dcterms:created>
  <dcterms:modified xsi:type="dcterms:W3CDTF">2023-01-13T10:03:00Z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